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מעלת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הצניעות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וואזנר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באחת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התגוררה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העוצמתי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והערב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ויהי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נקראה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ולהנעים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הידועה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הובטח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רחל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השתכנעה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להצעה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הוריה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נתחללו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שתושפע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הסוררת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מעונינת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ולזמר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אביה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פעמיו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מקופישניץ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מעונינת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הפרסום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נענה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מבטיחני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תזכי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תזכי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משכה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וזכתה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מקדושתו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הלא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יוסיפו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