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C" w:rsidRDefault="00451957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</w:rPr>
      </w:pPr>
      <w:r w:rsidRPr="00451957">
        <w:rPr>
          <w:rFonts w:ascii="Gisha" w:hAnsi="Gisha" w:cs="Gisha"/>
          <w:sz w:val="32"/>
          <w:szCs w:val="32"/>
          <w:rtl/>
        </w:rPr>
        <w:t>אף אחד לא ידע,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למה הדרך משיקה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לרגע  לא חשבת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שבגילך תהיי עוד - רווקה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והנה, עבר עשור-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את עדיין מחכה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קמה ממש לפני האור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לשפוך שיח ולחלוק  מועקה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יאמרו: צדיקה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יאמרו: אדוקה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proofErr w:type="spellStart"/>
      <w:r w:rsidRPr="00451957">
        <w:rPr>
          <w:rFonts w:ascii="Gisha" w:hAnsi="Gisha" w:cs="Gisha"/>
          <w:sz w:val="32"/>
          <w:szCs w:val="32"/>
          <w:rtl/>
        </w:rPr>
        <w:t>יאמרו:נהדרת</w:t>
      </w:r>
      <w:proofErr w:type="spellEnd"/>
      <w:r w:rsidRPr="00451957">
        <w:rPr>
          <w:rFonts w:ascii="Gisha" w:hAnsi="Gisha" w:cs="Gisha"/>
          <w:sz w:val="32"/>
          <w:szCs w:val="32"/>
          <w:rtl/>
        </w:rPr>
        <w:t>, עוזרת, חביבה גם נאה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אם היה לי בן - בך הייתי בוחרת לכלה,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את מהוללה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מוכשרת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נהדרת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משופרת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דומעת בנעילה, כמו סבתא של בלהה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אז איך שאת ככה, עדיין.....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מחכה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רווקה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בלבך מועקה..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זו בדיוק הבעיה, שבעין אנוש, יש מי שחושב,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שיש בידינו הדברים ליישב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אבל האמת היא, שרק יד אחד יודעת, לנווט איש לביתו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מושיב יחידים בייתה,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מוציא אסירים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proofErr w:type="spellStart"/>
      <w:r w:rsidRPr="00451957">
        <w:rPr>
          <w:rFonts w:ascii="Gisha" w:hAnsi="Gisha" w:cs="Gisha"/>
          <w:sz w:val="32"/>
          <w:szCs w:val="32"/>
          <w:rtl/>
        </w:rPr>
        <w:t>בכושרות</w:t>
      </w:r>
      <w:proofErr w:type="spellEnd"/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כן.  יש בכי,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ויש שירות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וכשהם חוברים יחדיו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זהו זמר נוגה,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32"/>
          <w:szCs w:val="32"/>
          <w:rtl/>
        </w:rPr>
      </w:pPr>
      <w:r w:rsidRPr="00451957">
        <w:rPr>
          <w:rFonts w:ascii="Gisha" w:hAnsi="Gisha" w:cs="Gisha"/>
          <w:sz w:val="32"/>
          <w:szCs w:val="32"/>
          <w:rtl/>
        </w:rPr>
        <w:t>ונוגה לו סביב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/>
          <w:sz w:val="40"/>
          <w:szCs w:val="40"/>
          <w:rtl/>
        </w:rPr>
      </w:pPr>
      <w:r w:rsidRPr="00451957">
        <w:rPr>
          <w:rFonts w:ascii="Gisha" w:hAnsi="Gisha" w:cs="Gisha"/>
          <w:sz w:val="40"/>
          <w:szCs w:val="40"/>
          <w:rtl/>
        </w:rPr>
        <w:t>כי מכל קושי , את גדלה וצומחת</w:t>
      </w:r>
    </w:p>
    <w:p w:rsidR="00451957" w:rsidRPr="00451957" w:rsidRDefault="00451957" w:rsidP="00451957">
      <w:pPr>
        <w:spacing w:after="0" w:line="240" w:lineRule="auto"/>
        <w:jc w:val="center"/>
        <w:rPr>
          <w:rFonts w:ascii="Gisha" w:hAnsi="Gisha" w:cs="Gisha" w:hint="cs"/>
          <w:sz w:val="40"/>
          <w:szCs w:val="40"/>
          <w:rtl/>
        </w:rPr>
      </w:pPr>
      <w:r w:rsidRPr="00451957">
        <w:rPr>
          <w:rFonts w:ascii="Gisha" w:hAnsi="Gisha" w:cs="Gisha"/>
          <w:sz w:val="40"/>
          <w:szCs w:val="40"/>
          <w:rtl/>
        </w:rPr>
        <w:t>ואחרי כל סתיו- יבוא אביב...</w:t>
      </w:r>
      <w:r>
        <w:rPr>
          <w:rFonts w:ascii="Gisha" w:hAnsi="Gisha" w:cs="Gisha" w:hint="cs"/>
          <w:sz w:val="40"/>
          <w:szCs w:val="40"/>
          <w:rtl/>
        </w:rPr>
        <w:t>!</w:t>
      </w:r>
      <w:bookmarkStart w:id="0" w:name="_GoBack"/>
      <w:bookmarkEnd w:id="0"/>
    </w:p>
    <w:sectPr w:rsidR="00451957" w:rsidRPr="00451957" w:rsidSect="009F3C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7"/>
    <w:rsid w:val="003F402C"/>
    <w:rsid w:val="00451957"/>
    <w:rsid w:val="009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123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7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0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2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8869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3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565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38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97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151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43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55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00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708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33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36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26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6463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dcterms:created xsi:type="dcterms:W3CDTF">2015-05-01T05:27:00Z</dcterms:created>
  <dcterms:modified xsi:type="dcterms:W3CDTF">2015-05-01T05:28:00Z</dcterms:modified>
</cp:coreProperties>
</file>